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FEB1" w14:textId="77777777" w:rsidR="0097306B" w:rsidRPr="0097306B" w:rsidRDefault="0097306B" w:rsidP="0097306B">
      <w:pPr>
        <w:jc w:val="center"/>
        <w:rPr>
          <w:rFonts w:ascii="Arial" w:hAnsi="Arial" w:cs="Arial"/>
          <w:b/>
          <w:bCs/>
        </w:rPr>
      </w:pPr>
      <w:r w:rsidRPr="0097306B">
        <w:rPr>
          <w:rFonts w:ascii="Arial" w:hAnsi="Arial" w:cs="Arial"/>
          <w:b/>
          <w:bCs/>
        </w:rPr>
        <w:t>CELEBRA ANA PATY APERTURA DE SEGUNDA UNIDAD DEL BIENESTAR EN CANCÚN</w:t>
      </w:r>
    </w:p>
    <w:p w14:paraId="40B0BC2B" w14:textId="77777777" w:rsidR="0097306B" w:rsidRPr="0097306B" w:rsidRDefault="0097306B" w:rsidP="0097306B">
      <w:pPr>
        <w:jc w:val="both"/>
        <w:rPr>
          <w:rFonts w:ascii="Arial" w:hAnsi="Arial" w:cs="Arial"/>
        </w:rPr>
      </w:pPr>
    </w:p>
    <w:p w14:paraId="572F9ECD" w14:textId="77777777" w:rsidR="0097306B" w:rsidRPr="0097306B" w:rsidRDefault="0097306B" w:rsidP="0097306B">
      <w:pPr>
        <w:jc w:val="both"/>
        <w:rPr>
          <w:rFonts w:ascii="Arial" w:hAnsi="Arial" w:cs="Arial"/>
        </w:rPr>
      </w:pPr>
      <w:r w:rsidRPr="0097306B">
        <w:rPr>
          <w:rFonts w:ascii="Arial" w:hAnsi="Arial" w:cs="Arial"/>
          <w:b/>
          <w:bCs/>
        </w:rPr>
        <w:t>Cancún, Q. R., a 25 de septiembre de 2023.-</w:t>
      </w:r>
      <w:r w:rsidRPr="0097306B">
        <w:rPr>
          <w:rFonts w:ascii="Arial" w:hAnsi="Arial" w:cs="Arial"/>
        </w:rPr>
        <w:t xml:space="preserve"> Junto a la gobernadora Mara Lezama, la </w:t>
      </w:r>
      <w:proofErr w:type="gramStart"/>
      <w:r w:rsidRPr="0097306B">
        <w:rPr>
          <w:rFonts w:ascii="Arial" w:hAnsi="Arial" w:cs="Arial"/>
        </w:rPr>
        <w:t>Presidenta</w:t>
      </w:r>
      <w:proofErr w:type="gramEnd"/>
      <w:r w:rsidRPr="0097306B">
        <w:rPr>
          <w:rFonts w:ascii="Arial" w:hAnsi="Arial" w:cs="Arial"/>
        </w:rPr>
        <w:t xml:space="preserve"> Municipal, Ana Paty Peralta, participó en la inauguración de la segunda Unidad del Bienestar en Cancún, ubicada en la Supermanzana 23, que proporcionará numerosos servicios médicos gratuitos a personas que lo requieran. </w:t>
      </w:r>
    </w:p>
    <w:p w14:paraId="58EC0EDD" w14:textId="77777777" w:rsidR="0097306B" w:rsidRPr="0097306B" w:rsidRDefault="0097306B" w:rsidP="0097306B">
      <w:pPr>
        <w:jc w:val="both"/>
        <w:rPr>
          <w:rFonts w:ascii="Arial" w:hAnsi="Arial" w:cs="Arial"/>
        </w:rPr>
      </w:pPr>
    </w:p>
    <w:p w14:paraId="73031FCE" w14:textId="77777777" w:rsidR="0097306B" w:rsidRPr="0097306B" w:rsidRDefault="0097306B" w:rsidP="0097306B">
      <w:pPr>
        <w:jc w:val="both"/>
        <w:rPr>
          <w:rFonts w:ascii="Arial" w:hAnsi="Arial" w:cs="Arial"/>
        </w:rPr>
      </w:pPr>
      <w:r w:rsidRPr="0097306B">
        <w:rPr>
          <w:rFonts w:ascii="Arial" w:hAnsi="Arial" w:cs="Arial"/>
        </w:rPr>
        <w:t xml:space="preserve">“Hoy con esta unidad, se transforma completamente la zona, como todo lo que hacemos en los gobiernos de la Cuarta Transformación, transformar los espacios y nuestra ciudad, pero sobre todo trabajar de forma unida, el Gobierno del Estado con nuestra primera mujer Gobernadora y con el Gobierno de México, con el </w:t>
      </w:r>
      <w:proofErr w:type="gramStart"/>
      <w:r w:rsidRPr="0097306B">
        <w:rPr>
          <w:rFonts w:ascii="Arial" w:hAnsi="Arial" w:cs="Arial"/>
        </w:rPr>
        <w:t>Presidente</w:t>
      </w:r>
      <w:proofErr w:type="gramEnd"/>
      <w:r w:rsidRPr="0097306B">
        <w:rPr>
          <w:rFonts w:ascii="Arial" w:hAnsi="Arial" w:cs="Arial"/>
        </w:rPr>
        <w:t xml:space="preserve"> Andrés Manuel López Obrador”, dijo en su calidad de anfitriona en Cancún.</w:t>
      </w:r>
    </w:p>
    <w:p w14:paraId="59E814C6" w14:textId="77777777" w:rsidR="0097306B" w:rsidRPr="0097306B" w:rsidRDefault="0097306B" w:rsidP="0097306B">
      <w:pPr>
        <w:jc w:val="both"/>
        <w:rPr>
          <w:rFonts w:ascii="Arial" w:hAnsi="Arial" w:cs="Arial"/>
        </w:rPr>
      </w:pPr>
    </w:p>
    <w:p w14:paraId="3771E259" w14:textId="135ADBA7" w:rsidR="0097306B" w:rsidRPr="0097306B" w:rsidRDefault="0097306B" w:rsidP="0097306B">
      <w:pPr>
        <w:jc w:val="both"/>
        <w:rPr>
          <w:rFonts w:ascii="Arial" w:hAnsi="Arial" w:cs="Arial"/>
        </w:rPr>
      </w:pPr>
      <w:r w:rsidRPr="0097306B">
        <w:rPr>
          <w:rFonts w:ascii="Arial" w:hAnsi="Arial" w:cs="Arial"/>
        </w:rPr>
        <w:t xml:space="preserve">Acompañada por los beneficiados de dicho programa, resaltó que la </w:t>
      </w:r>
      <w:r w:rsidRPr="0097306B">
        <w:rPr>
          <w:rFonts w:ascii="Arial" w:hAnsi="Arial" w:cs="Arial"/>
        </w:rPr>
        <w:t>atención médica</w:t>
      </w:r>
      <w:r w:rsidRPr="0097306B">
        <w:rPr>
          <w:rFonts w:ascii="Arial" w:hAnsi="Arial" w:cs="Arial"/>
        </w:rPr>
        <w:t xml:space="preserve"> y de asistencia social, va a cambiarle la vida a las familias cancunenses, a quienes exhortó en todo momento se acerquen para ser canalizados a las diferentes instancias de los tres órdenes de gobierno. </w:t>
      </w:r>
    </w:p>
    <w:p w14:paraId="270531D2" w14:textId="77777777" w:rsidR="0097306B" w:rsidRPr="0097306B" w:rsidRDefault="0097306B" w:rsidP="0097306B">
      <w:pPr>
        <w:jc w:val="both"/>
        <w:rPr>
          <w:rFonts w:ascii="Arial" w:hAnsi="Arial" w:cs="Arial"/>
        </w:rPr>
      </w:pPr>
    </w:p>
    <w:p w14:paraId="0D5515B1" w14:textId="77777777" w:rsidR="0097306B" w:rsidRPr="0097306B" w:rsidRDefault="0097306B" w:rsidP="0097306B">
      <w:pPr>
        <w:jc w:val="both"/>
        <w:rPr>
          <w:rFonts w:ascii="Arial" w:hAnsi="Arial" w:cs="Arial"/>
        </w:rPr>
      </w:pPr>
      <w:r w:rsidRPr="0097306B">
        <w:rPr>
          <w:rFonts w:ascii="Arial" w:hAnsi="Arial" w:cs="Arial"/>
        </w:rPr>
        <w:t xml:space="preserve">Por su parte, el secretario del Bienestar en la entidad, Pablo Bustamante Beltrán, detalló que es el séptimo sitio de este tipo en Quintana Roo, por lo que se sumó también a la invitación a la población a ocuparlo, ya que es parte de los resultados y acciones visibles a un año de inicio del Gobierno del Estado. </w:t>
      </w:r>
    </w:p>
    <w:p w14:paraId="142DD6F5" w14:textId="77777777" w:rsidR="0097306B" w:rsidRPr="0097306B" w:rsidRDefault="0097306B" w:rsidP="0097306B">
      <w:pPr>
        <w:jc w:val="both"/>
        <w:rPr>
          <w:rFonts w:ascii="Arial" w:hAnsi="Arial" w:cs="Arial"/>
        </w:rPr>
      </w:pPr>
    </w:p>
    <w:p w14:paraId="3D9C3C90" w14:textId="77777777" w:rsidR="0097306B" w:rsidRPr="0097306B" w:rsidRDefault="0097306B" w:rsidP="0097306B">
      <w:pPr>
        <w:jc w:val="both"/>
        <w:rPr>
          <w:rFonts w:ascii="Arial" w:hAnsi="Arial" w:cs="Arial"/>
        </w:rPr>
      </w:pPr>
      <w:r w:rsidRPr="0097306B">
        <w:rPr>
          <w:rFonts w:ascii="Arial" w:hAnsi="Arial" w:cs="Arial"/>
        </w:rPr>
        <w:t xml:space="preserve">Previo a la entrega personalizada a cada beneficiario de las tarjetas para ocupar la Unidad, la mandataria estatal destacó que podrán ocupar servicios gratuitos de laboratorio, medicinas, consultas médicas y valoraciones de la vista, no necesariamente hasta que tengan un padecimiento, sino preventivos para evitar precisamente complicaciones mayores en su salud. </w:t>
      </w:r>
    </w:p>
    <w:p w14:paraId="2DCC25B3" w14:textId="77777777" w:rsidR="0097306B" w:rsidRPr="0097306B" w:rsidRDefault="0097306B" w:rsidP="0097306B">
      <w:pPr>
        <w:jc w:val="both"/>
        <w:rPr>
          <w:rFonts w:ascii="Arial" w:hAnsi="Arial" w:cs="Arial"/>
        </w:rPr>
      </w:pPr>
    </w:p>
    <w:p w14:paraId="0BCEFF26" w14:textId="007CAE9C" w:rsidR="0097306B" w:rsidRPr="0097306B" w:rsidRDefault="0097306B" w:rsidP="0097306B">
      <w:pPr>
        <w:jc w:val="center"/>
        <w:rPr>
          <w:rFonts w:ascii="Arial" w:hAnsi="Arial" w:cs="Arial"/>
        </w:rPr>
      </w:pPr>
      <w:r w:rsidRPr="0097306B">
        <w:rPr>
          <w:rFonts w:ascii="Arial" w:hAnsi="Arial" w:cs="Arial"/>
        </w:rPr>
        <w:t>**</w:t>
      </w:r>
      <w:r>
        <w:rPr>
          <w:rFonts w:ascii="Arial" w:hAnsi="Arial" w:cs="Arial"/>
        </w:rPr>
        <w:t>**********</w:t>
      </w:r>
    </w:p>
    <w:p w14:paraId="1F1F1459" w14:textId="77777777" w:rsidR="0097306B" w:rsidRPr="0097306B" w:rsidRDefault="0097306B" w:rsidP="0097306B">
      <w:pPr>
        <w:jc w:val="both"/>
        <w:rPr>
          <w:rFonts w:ascii="Arial" w:hAnsi="Arial" w:cs="Arial"/>
          <w:b/>
          <w:bCs/>
        </w:rPr>
      </w:pPr>
      <w:r w:rsidRPr="0097306B">
        <w:rPr>
          <w:rFonts w:ascii="Arial" w:hAnsi="Arial" w:cs="Arial"/>
          <w:b/>
          <w:bCs/>
        </w:rPr>
        <w:t xml:space="preserve">CAJA DE DATOS </w:t>
      </w:r>
    </w:p>
    <w:p w14:paraId="065C4F03" w14:textId="77777777" w:rsidR="0097306B" w:rsidRPr="0097306B" w:rsidRDefault="0097306B" w:rsidP="0097306B">
      <w:pPr>
        <w:jc w:val="both"/>
        <w:rPr>
          <w:rFonts w:ascii="Arial" w:hAnsi="Arial" w:cs="Arial"/>
        </w:rPr>
      </w:pPr>
    </w:p>
    <w:p w14:paraId="1E4FCDCE" w14:textId="77777777" w:rsidR="0097306B" w:rsidRPr="0097306B" w:rsidRDefault="0097306B" w:rsidP="0097306B">
      <w:pPr>
        <w:jc w:val="both"/>
        <w:rPr>
          <w:rFonts w:ascii="Arial" w:hAnsi="Arial" w:cs="Arial"/>
        </w:rPr>
      </w:pPr>
      <w:r w:rsidRPr="0097306B">
        <w:rPr>
          <w:rFonts w:ascii="Arial" w:hAnsi="Arial" w:cs="Arial"/>
        </w:rPr>
        <w:t xml:space="preserve">Análisis de: </w:t>
      </w:r>
    </w:p>
    <w:p w14:paraId="769715A6" w14:textId="77777777" w:rsidR="0097306B" w:rsidRPr="0097306B" w:rsidRDefault="0097306B" w:rsidP="0097306B">
      <w:pPr>
        <w:jc w:val="both"/>
        <w:rPr>
          <w:rFonts w:ascii="Arial" w:hAnsi="Arial" w:cs="Arial"/>
        </w:rPr>
      </w:pPr>
      <w:r w:rsidRPr="0097306B">
        <w:rPr>
          <w:rFonts w:ascii="Arial" w:hAnsi="Arial" w:cs="Arial"/>
        </w:rPr>
        <w:t>Antígeno Prostático Específico (PSA)</w:t>
      </w:r>
    </w:p>
    <w:p w14:paraId="1D267BE4" w14:textId="77777777" w:rsidR="0097306B" w:rsidRPr="0097306B" w:rsidRDefault="0097306B" w:rsidP="0097306B">
      <w:pPr>
        <w:jc w:val="both"/>
        <w:rPr>
          <w:rFonts w:ascii="Arial" w:hAnsi="Arial" w:cs="Arial"/>
        </w:rPr>
      </w:pPr>
      <w:r w:rsidRPr="0097306B">
        <w:rPr>
          <w:rFonts w:ascii="Arial" w:hAnsi="Arial" w:cs="Arial"/>
        </w:rPr>
        <w:t xml:space="preserve">Coproparasitoscópico 3ra muestra </w:t>
      </w:r>
    </w:p>
    <w:p w14:paraId="686B9398" w14:textId="77777777" w:rsidR="0097306B" w:rsidRPr="0097306B" w:rsidRDefault="0097306B" w:rsidP="0097306B">
      <w:pPr>
        <w:jc w:val="both"/>
        <w:rPr>
          <w:rFonts w:ascii="Arial" w:hAnsi="Arial" w:cs="Arial"/>
        </w:rPr>
      </w:pPr>
      <w:r w:rsidRPr="0097306B">
        <w:rPr>
          <w:rFonts w:ascii="Arial" w:hAnsi="Arial" w:cs="Arial"/>
        </w:rPr>
        <w:t xml:space="preserve">Examen general de orina </w:t>
      </w:r>
    </w:p>
    <w:p w14:paraId="020A3026" w14:textId="77777777" w:rsidR="0097306B" w:rsidRPr="0097306B" w:rsidRDefault="0097306B" w:rsidP="0097306B">
      <w:pPr>
        <w:jc w:val="both"/>
        <w:rPr>
          <w:rFonts w:ascii="Arial" w:hAnsi="Arial" w:cs="Arial"/>
        </w:rPr>
      </w:pPr>
      <w:r w:rsidRPr="0097306B">
        <w:rPr>
          <w:rFonts w:ascii="Arial" w:hAnsi="Arial" w:cs="Arial"/>
        </w:rPr>
        <w:t>Grupo sanguíneo y RH</w:t>
      </w:r>
    </w:p>
    <w:p w14:paraId="5BE5D3EE" w14:textId="77777777" w:rsidR="0097306B" w:rsidRPr="0097306B" w:rsidRDefault="0097306B" w:rsidP="0097306B">
      <w:pPr>
        <w:jc w:val="both"/>
        <w:rPr>
          <w:rFonts w:ascii="Arial" w:hAnsi="Arial" w:cs="Arial"/>
        </w:rPr>
      </w:pPr>
      <w:r w:rsidRPr="0097306B">
        <w:rPr>
          <w:rFonts w:ascii="Arial" w:hAnsi="Arial" w:cs="Arial"/>
        </w:rPr>
        <w:t xml:space="preserve">Hemoglobina Glicosilada </w:t>
      </w:r>
    </w:p>
    <w:p w14:paraId="1B003F29" w14:textId="77777777" w:rsidR="0097306B" w:rsidRPr="0097306B" w:rsidRDefault="0097306B" w:rsidP="0097306B">
      <w:pPr>
        <w:jc w:val="both"/>
        <w:rPr>
          <w:rFonts w:ascii="Arial" w:hAnsi="Arial" w:cs="Arial"/>
        </w:rPr>
      </w:pPr>
      <w:r w:rsidRPr="0097306B">
        <w:rPr>
          <w:rFonts w:ascii="Arial" w:hAnsi="Arial" w:cs="Arial"/>
        </w:rPr>
        <w:t xml:space="preserve">Prueba inmunológica de embarazo (Pie sangre) </w:t>
      </w:r>
    </w:p>
    <w:p w14:paraId="7383CF60" w14:textId="77777777" w:rsidR="0097306B" w:rsidRPr="0097306B" w:rsidRDefault="0097306B" w:rsidP="0097306B">
      <w:pPr>
        <w:jc w:val="both"/>
        <w:rPr>
          <w:rFonts w:ascii="Arial" w:hAnsi="Arial" w:cs="Arial"/>
        </w:rPr>
      </w:pPr>
      <w:r w:rsidRPr="0097306B">
        <w:rPr>
          <w:rFonts w:ascii="Arial" w:hAnsi="Arial" w:cs="Arial"/>
        </w:rPr>
        <w:t xml:space="preserve">Química sanguínea de 6 elementos </w:t>
      </w:r>
    </w:p>
    <w:p w14:paraId="22B77AA8" w14:textId="77777777" w:rsidR="0097306B" w:rsidRPr="0097306B" w:rsidRDefault="0097306B" w:rsidP="0097306B">
      <w:pPr>
        <w:jc w:val="both"/>
        <w:rPr>
          <w:rFonts w:ascii="Arial" w:hAnsi="Arial" w:cs="Arial"/>
        </w:rPr>
      </w:pPr>
      <w:r w:rsidRPr="0097306B">
        <w:rPr>
          <w:rFonts w:ascii="Arial" w:hAnsi="Arial" w:cs="Arial"/>
        </w:rPr>
        <w:lastRenderedPageBreak/>
        <w:t xml:space="preserve">Biometría hemática </w:t>
      </w:r>
    </w:p>
    <w:p w14:paraId="73E93E58" w14:textId="77777777" w:rsidR="0097306B" w:rsidRPr="0097306B" w:rsidRDefault="0097306B" w:rsidP="0097306B">
      <w:pPr>
        <w:jc w:val="both"/>
        <w:rPr>
          <w:rFonts w:ascii="Arial" w:hAnsi="Arial" w:cs="Arial"/>
        </w:rPr>
      </w:pPr>
      <w:r w:rsidRPr="0097306B">
        <w:rPr>
          <w:rFonts w:ascii="Arial" w:hAnsi="Arial" w:cs="Arial"/>
        </w:rPr>
        <w:t>Exudado faríngeo</w:t>
      </w:r>
    </w:p>
    <w:p w14:paraId="5609A277" w14:textId="77777777" w:rsidR="0097306B" w:rsidRPr="0097306B" w:rsidRDefault="0097306B" w:rsidP="0097306B">
      <w:pPr>
        <w:jc w:val="both"/>
        <w:rPr>
          <w:rFonts w:ascii="Arial" w:hAnsi="Arial" w:cs="Arial"/>
        </w:rPr>
      </w:pPr>
      <w:r w:rsidRPr="0097306B">
        <w:rPr>
          <w:rFonts w:ascii="Arial" w:hAnsi="Arial" w:cs="Arial"/>
        </w:rPr>
        <w:t>Glucosa</w:t>
      </w:r>
    </w:p>
    <w:p w14:paraId="4AAA89AB" w14:textId="77777777" w:rsidR="0097306B" w:rsidRPr="0097306B" w:rsidRDefault="0097306B" w:rsidP="0097306B">
      <w:pPr>
        <w:jc w:val="both"/>
        <w:rPr>
          <w:rFonts w:ascii="Arial" w:hAnsi="Arial" w:cs="Arial"/>
        </w:rPr>
      </w:pPr>
      <w:r w:rsidRPr="0097306B">
        <w:rPr>
          <w:rFonts w:ascii="Arial" w:hAnsi="Arial" w:cs="Arial"/>
        </w:rPr>
        <w:t>Papanicolaou</w:t>
      </w:r>
    </w:p>
    <w:p w14:paraId="0B70482E" w14:textId="77777777" w:rsidR="0097306B" w:rsidRPr="0097306B" w:rsidRDefault="0097306B" w:rsidP="0097306B">
      <w:pPr>
        <w:jc w:val="both"/>
        <w:rPr>
          <w:rFonts w:ascii="Arial" w:hAnsi="Arial" w:cs="Arial"/>
        </w:rPr>
      </w:pPr>
      <w:r w:rsidRPr="0097306B">
        <w:rPr>
          <w:rFonts w:ascii="Arial" w:hAnsi="Arial" w:cs="Arial"/>
        </w:rPr>
        <w:t xml:space="preserve">Reacciones febriles </w:t>
      </w:r>
    </w:p>
    <w:p w14:paraId="6D8DC521" w14:textId="77777777" w:rsidR="0097306B" w:rsidRPr="0097306B" w:rsidRDefault="0097306B" w:rsidP="0097306B">
      <w:pPr>
        <w:jc w:val="both"/>
        <w:rPr>
          <w:rFonts w:ascii="Arial" w:hAnsi="Arial" w:cs="Arial"/>
        </w:rPr>
      </w:pPr>
      <w:r w:rsidRPr="0097306B">
        <w:rPr>
          <w:rFonts w:ascii="Arial" w:hAnsi="Arial" w:cs="Arial"/>
        </w:rPr>
        <w:t>V.D.R.L.</w:t>
      </w:r>
    </w:p>
    <w:p w14:paraId="72D07A92" w14:textId="77777777" w:rsidR="0097306B" w:rsidRPr="0097306B" w:rsidRDefault="0097306B" w:rsidP="0097306B">
      <w:pPr>
        <w:jc w:val="both"/>
        <w:rPr>
          <w:rFonts w:ascii="Arial" w:hAnsi="Arial" w:cs="Arial"/>
        </w:rPr>
      </w:pPr>
      <w:r w:rsidRPr="0097306B">
        <w:rPr>
          <w:rFonts w:ascii="Arial" w:hAnsi="Arial" w:cs="Arial"/>
        </w:rPr>
        <w:t xml:space="preserve">V.I.H.  </w:t>
      </w:r>
    </w:p>
    <w:p w14:paraId="42FB2F58" w14:textId="77777777" w:rsidR="0097306B" w:rsidRPr="0097306B" w:rsidRDefault="0097306B" w:rsidP="0097306B">
      <w:pPr>
        <w:jc w:val="both"/>
        <w:rPr>
          <w:rFonts w:ascii="Arial" w:hAnsi="Arial" w:cs="Arial"/>
        </w:rPr>
      </w:pPr>
    </w:p>
    <w:p w14:paraId="3EA0F378" w14:textId="395429FF" w:rsidR="00351441" w:rsidRPr="0097306B" w:rsidRDefault="0097306B" w:rsidP="0097306B">
      <w:pPr>
        <w:jc w:val="both"/>
        <w:rPr>
          <w:rFonts w:ascii="Arial" w:hAnsi="Arial" w:cs="Arial"/>
        </w:rPr>
      </w:pPr>
      <w:r w:rsidRPr="0097306B">
        <w:rPr>
          <w:rFonts w:ascii="Arial" w:hAnsi="Arial" w:cs="Arial"/>
        </w:rPr>
        <w:t>Citas e informes: 998 980 3484</w:t>
      </w:r>
    </w:p>
    <w:sectPr w:rsidR="00351441" w:rsidRPr="0097306B"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3AFC" w14:textId="77777777" w:rsidR="00432464" w:rsidRDefault="00432464" w:rsidP="0032752D">
      <w:r>
        <w:separator/>
      </w:r>
    </w:p>
  </w:endnote>
  <w:endnote w:type="continuationSeparator" w:id="0">
    <w:p w14:paraId="192AF039" w14:textId="77777777" w:rsidR="00432464" w:rsidRDefault="0043246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5BDD5" w14:textId="77777777" w:rsidR="00432464" w:rsidRDefault="00432464" w:rsidP="0032752D">
      <w:r>
        <w:separator/>
      </w:r>
    </w:p>
  </w:footnote>
  <w:footnote w:type="continuationSeparator" w:id="0">
    <w:p w14:paraId="2DB3F0EE" w14:textId="77777777" w:rsidR="00432464" w:rsidRDefault="0043246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706E25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97306B">
            <w:rPr>
              <w:rFonts w:ascii="Gotham" w:hAnsi="Gotham"/>
              <w:b/>
              <w:sz w:val="22"/>
              <w:szCs w:val="22"/>
              <w:lang w:val="es-MX"/>
            </w:rPr>
            <w:t>80</w:t>
          </w:r>
        </w:p>
        <w:p w14:paraId="2564202F" w14:textId="030E97B1" w:rsidR="002A59FA" w:rsidRPr="00E068A5" w:rsidRDefault="0097306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25</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A2B"/>
    <w:rsid w:val="003C7954"/>
    <w:rsid w:val="00410512"/>
    <w:rsid w:val="00432464"/>
    <w:rsid w:val="00443969"/>
    <w:rsid w:val="00487103"/>
    <w:rsid w:val="004B3D55"/>
    <w:rsid w:val="00537E86"/>
    <w:rsid w:val="005423C8"/>
    <w:rsid w:val="005D5B5A"/>
    <w:rsid w:val="005D66EE"/>
    <w:rsid w:val="00690482"/>
    <w:rsid w:val="006B6BE4"/>
    <w:rsid w:val="006F2E84"/>
    <w:rsid w:val="007044BB"/>
    <w:rsid w:val="0073739C"/>
    <w:rsid w:val="007C7144"/>
    <w:rsid w:val="007F0CBF"/>
    <w:rsid w:val="0097306B"/>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2023-09-25T21:52:00Z</dcterms:created>
  <dcterms:modified xsi:type="dcterms:W3CDTF">2023-09-25T21:52:00Z</dcterms:modified>
</cp:coreProperties>
</file>